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210"/>
      </w:tblGrid>
      <w:tr w:rsidR="0036406F" w:rsidTr="00821D3E">
        <w:trPr>
          <w:trHeight w:hRule="exact" w:val="461"/>
          <w:jc w:val="center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06F" w:rsidRPr="00821D3E" w:rsidRDefault="0036406F" w:rsidP="00821D3E">
            <w:pPr>
              <w:spacing w:before="120" w:after="120" w:line="240" w:lineRule="auto"/>
              <w:ind w:left="187" w:right="-14"/>
              <w:rPr>
                <w:rFonts w:eastAsia="Arial"/>
                <w:sz w:val="18"/>
                <w:szCs w:val="18"/>
              </w:rPr>
            </w:pPr>
            <w:r w:rsidRPr="00821D3E">
              <w:rPr>
                <w:rFonts w:eastAsia="Arial"/>
                <w:bCs/>
                <w:spacing w:val="1"/>
                <w:szCs w:val="20"/>
              </w:rPr>
              <w:t>Agency</w:t>
            </w:r>
            <w:r w:rsidR="00206131" w:rsidRPr="00821D3E">
              <w:rPr>
                <w:rFonts w:eastAsia="Arial"/>
                <w:bCs/>
                <w:spacing w:val="1"/>
                <w:szCs w:val="20"/>
              </w:rPr>
              <w:t>:</w:t>
            </w:r>
            <w:r w:rsidRPr="00821D3E">
              <w:rPr>
                <w:rFonts w:eastAsia="Arial"/>
                <w:bCs/>
                <w:spacing w:val="1"/>
                <w:szCs w:val="20"/>
              </w:rPr>
              <w:t xml:space="preserve"> </w:t>
            </w:r>
            <w:sdt>
              <w:sdtPr>
                <w:rPr>
                  <w:rFonts w:eastAsia="Arial"/>
                  <w:bCs/>
                  <w:spacing w:val="1"/>
                  <w:szCs w:val="20"/>
                </w:rPr>
                <w:id w:val="-285197916"/>
                <w:placeholder>
                  <w:docPart w:val="E87451380E8D4252930F57A6C24144E7"/>
                </w:placeholder>
                <w:showingPlcHdr/>
              </w:sdtPr>
              <w:sdtEndPr/>
              <w:sdtContent>
                <w:r w:rsidR="00821D3E" w:rsidRPr="00AE29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06F" w:rsidTr="00821D3E">
        <w:trPr>
          <w:trHeight w:hRule="exact" w:val="459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36406F" w:rsidP="00206131">
            <w:pPr>
              <w:spacing w:before="120" w:after="120" w:line="240" w:lineRule="auto"/>
              <w:ind w:left="18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zCs w:val="20"/>
              </w:rPr>
              <w:t>Prepare</w:t>
            </w:r>
            <w:r>
              <w:rPr>
                <w:rFonts w:eastAsia="Arial"/>
                <w:bCs/>
                <w:spacing w:val="-1"/>
                <w:szCs w:val="20"/>
              </w:rPr>
              <w:t>r</w:t>
            </w:r>
            <w:r>
              <w:rPr>
                <w:rFonts w:eastAsia="Arial"/>
                <w:bCs/>
                <w:szCs w:val="20"/>
              </w:rPr>
              <w:t>(</w:t>
            </w:r>
            <w:r>
              <w:rPr>
                <w:rFonts w:eastAsia="Arial"/>
                <w:bCs/>
                <w:spacing w:val="-1"/>
                <w:szCs w:val="20"/>
              </w:rPr>
              <w:t>s</w:t>
            </w:r>
            <w:r>
              <w:rPr>
                <w:rFonts w:eastAsia="Arial"/>
                <w:bCs/>
                <w:szCs w:val="20"/>
              </w:rPr>
              <w:t>)</w:t>
            </w:r>
            <w:r w:rsidR="00206131"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5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5"/>
                  <w:szCs w:val="20"/>
                </w:rPr>
                <w:id w:val="1639372161"/>
                <w:placeholder>
                  <w:docPart w:val="E87451380E8D4252930F57A6C24144E7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2056377528"/>
                    <w:placeholder>
                      <w:docPart w:val="E3C7E6BA627F4F3CAF9FC79F9DFC79AD"/>
                    </w:placeholder>
                    <w:showingPlcHdr/>
                  </w:sdtPr>
                  <w:sdtEndPr/>
                  <w:sdtContent>
                    <w:r w:rsidR="0069737E"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6406F" w:rsidRDefault="0036406F" w:rsidP="00206131">
            <w:pPr>
              <w:spacing w:before="120" w:after="120" w:line="240" w:lineRule="auto"/>
              <w:ind w:left="350" w:right="-14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Cs/>
                <w:spacing w:val="1"/>
                <w:szCs w:val="20"/>
              </w:rPr>
              <w:t>D</w:t>
            </w:r>
            <w:r>
              <w:rPr>
                <w:rFonts w:eastAsia="Arial"/>
                <w:bCs/>
                <w:szCs w:val="20"/>
              </w:rPr>
              <w:t>a</w:t>
            </w:r>
            <w:r>
              <w:rPr>
                <w:rFonts w:eastAsia="Arial"/>
                <w:bCs/>
                <w:spacing w:val="-1"/>
                <w:szCs w:val="20"/>
              </w:rPr>
              <w:t>t</w:t>
            </w:r>
            <w:r>
              <w:rPr>
                <w:rFonts w:eastAsia="Arial"/>
                <w:bCs/>
                <w:szCs w:val="20"/>
              </w:rPr>
              <w:t>e</w:t>
            </w:r>
            <w:r w:rsidR="00206131">
              <w:rPr>
                <w:rFonts w:eastAsia="Arial"/>
                <w:b w:val="0"/>
                <w:bCs/>
                <w:szCs w:val="20"/>
              </w:rPr>
              <w:t>:</w:t>
            </w:r>
            <w:r>
              <w:rPr>
                <w:rFonts w:eastAsia="Arial"/>
                <w:bCs/>
                <w:spacing w:val="46"/>
                <w:szCs w:val="20"/>
              </w:rPr>
              <w:t xml:space="preserve"> </w:t>
            </w:r>
            <w:sdt>
              <w:sdtPr>
                <w:rPr>
                  <w:rFonts w:eastAsia="Arial"/>
                  <w:b w:val="0"/>
                  <w:bCs/>
                  <w:spacing w:val="46"/>
                  <w:szCs w:val="20"/>
                </w:rPr>
                <w:id w:val="-1581208482"/>
                <w:placeholder>
                  <w:docPart w:val="E87451380E8D4252930F57A6C24144E7"/>
                </w:placeholder>
              </w:sdtPr>
              <w:sdtEndPr/>
              <w:sdtContent>
                <w:sdt>
                  <w:sdtPr>
                    <w:rPr>
                      <w:rFonts w:eastAsia="Arial"/>
                      <w:bCs/>
                      <w:spacing w:val="1"/>
                      <w:szCs w:val="20"/>
                    </w:rPr>
                    <w:id w:val="-870073052"/>
                    <w:placeholder>
                      <w:docPart w:val="CEC45890D5CC45EDBDFE2BF0C82E5139"/>
                    </w:placeholder>
                    <w:showingPlcHdr/>
                  </w:sdtPr>
                  <w:sdtEndPr/>
                  <w:sdtContent>
                    <w:r w:rsidR="0069737E" w:rsidRPr="00AE29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:rsidR="00455799" w:rsidRDefault="00455799" w:rsidP="0036406F">
      <w:pPr>
        <w:spacing w:after="0" w:line="240" w:lineRule="auto"/>
      </w:pPr>
    </w:p>
    <w:p w:rsidR="0036406F" w:rsidRPr="00AC17CE" w:rsidRDefault="002113D8" w:rsidP="0036406F">
      <w:pPr>
        <w:spacing w:after="0" w:line="240" w:lineRule="auto"/>
        <w:ind w:left="-270"/>
        <w:rPr>
          <w:b w:val="0"/>
        </w:rPr>
      </w:pPr>
      <w:r w:rsidRPr="00821D3E">
        <w:rPr>
          <w:szCs w:val="20"/>
        </w:rPr>
        <w:t>Risks:</w:t>
      </w:r>
      <w:r>
        <w:rPr>
          <w:b w:val="0"/>
        </w:rPr>
        <w:t xml:space="preserve"> </w:t>
      </w:r>
      <w:sdt>
        <w:sdtPr>
          <w:rPr>
            <w:b w:val="0"/>
          </w:rPr>
          <w:id w:val="1741673956"/>
          <w:placeholder>
            <w:docPart w:val="E87451380E8D4252930F57A6C24144E7"/>
          </w:placeholder>
        </w:sdtPr>
        <w:sdtEndPr/>
        <w:sdtContent>
          <w:sdt>
            <w:sdtPr>
              <w:rPr>
                <w:rFonts w:eastAsia="Arial"/>
                <w:bCs/>
                <w:spacing w:val="1"/>
                <w:szCs w:val="20"/>
              </w:rPr>
              <w:id w:val="480122196"/>
              <w:placeholder>
                <w:docPart w:val="488808041C4343C6BB5640AC516D65C3"/>
              </w:placeholder>
            </w:sdtPr>
            <w:sdtEndPr/>
            <w:sdtContent>
              <w:r w:rsidR="00490CCF">
                <w:rPr>
                  <w:rFonts w:eastAsia="Arial"/>
                  <w:bCs/>
                  <w:spacing w:val="1"/>
                  <w:szCs w:val="20"/>
                </w:rPr>
                <w:t>Inventory items will be lost, damaged, or stolen as a result of poor physical security. Improper inventory levels (excessive or deficient) will cause inefficiencies in agency operations. Inaccurate inventory counts or valuations will result in errors in financial reporting.</w:t>
              </w:r>
            </w:sdtContent>
          </w:sdt>
        </w:sdtContent>
      </w:sdt>
    </w:p>
    <w:p w:rsidR="0036406F" w:rsidRDefault="0036406F" w:rsidP="0036406F">
      <w:pPr>
        <w:spacing w:after="0" w:line="240" w:lineRule="auto"/>
        <w:rPr>
          <w:b w:val="0"/>
        </w:rPr>
      </w:pPr>
    </w:p>
    <w:tbl>
      <w:tblPr>
        <w:tblW w:w="92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6949"/>
      </w:tblGrid>
      <w:tr w:rsidR="00D31AE4" w:rsidRPr="00821D3E" w:rsidTr="009C3A75">
        <w:trPr>
          <w:trHeight w:hRule="exact" w:val="720"/>
          <w:jc w:val="center"/>
        </w:trPr>
        <w:tc>
          <w:tcPr>
            <w:tcW w:w="576" w:type="dxa"/>
            <w:tcBorders>
              <w:top w:val="single" w:sz="2" w:space="0" w:color="3366FF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right="-20"/>
              <w:jc w:val="center"/>
              <w:rPr>
                <w:rFonts w:eastAsia="Arial Narrow"/>
                <w:sz w:val="18"/>
                <w:szCs w:val="18"/>
              </w:rPr>
            </w:pPr>
            <w:r w:rsidRPr="00821D3E">
              <w:rPr>
                <w:rFonts w:eastAsia="Arial Narrow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62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 w:rsidRPr="00821D3E">
              <w:rPr>
                <w:rFonts w:eastAsia="Arial Narrow"/>
                <w:sz w:val="18"/>
                <w:szCs w:val="18"/>
              </w:rPr>
              <w:t>*N/A</w:t>
            </w:r>
          </w:p>
        </w:tc>
        <w:tc>
          <w:tcPr>
            <w:tcW w:w="576" w:type="dxa"/>
            <w:tcBorders>
              <w:top w:val="single" w:sz="2" w:space="0" w:color="3366FF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821D3E" w:rsidRDefault="00D31AE4" w:rsidP="0056278B">
            <w:pPr>
              <w:spacing w:before="9" w:after="0" w:line="190" w:lineRule="exact"/>
              <w:jc w:val="center"/>
              <w:rPr>
                <w:sz w:val="22"/>
              </w:rPr>
            </w:pPr>
          </w:p>
        </w:tc>
        <w:tc>
          <w:tcPr>
            <w:tcW w:w="6949" w:type="dxa"/>
            <w:tcBorders>
              <w:top w:val="single" w:sz="2" w:space="0" w:color="3366FF"/>
              <w:left w:val="nil"/>
              <w:bottom w:val="single" w:sz="4" w:space="0" w:color="auto"/>
              <w:right w:val="single" w:sz="2" w:space="0" w:color="3366FF"/>
            </w:tcBorders>
            <w:vAlign w:val="center"/>
          </w:tcPr>
          <w:p w:rsidR="00D31AE4" w:rsidRPr="00821D3E" w:rsidRDefault="00D31AE4" w:rsidP="001F65AB">
            <w:pPr>
              <w:spacing w:before="9" w:after="0" w:line="190" w:lineRule="exact"/>
              <w:ind w:left="145"/>
              <w:rPr>
                <w:sz w:val="19"/>
                <w:szCs w:val="19"/>
              </w:rPr>
            </w:pPr>
            <w:r w:rsidRPr="00821D3E">
              <w:rPr>
                <w:rFonts w:eastAsia="Arial Narrow"/>
                <w:sz w:val="18"/>
                <w:szCs w:val="18"/>
              </w:rPr>
              <w:t>CHECKLIST QUESTION</w:t>
            </w:r>
          </w:p>
        </w:tc>
      </w:tr>
      <w:tr w:rsidR="00D31AE4" w:rsidRPr="00424F79" w:rsidTr="009C3A75">
        <w:trPr>
          <w:trHeight w:hRule="exact" w:val="909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 w:rsidRPr="00424F79">
              <w:rPr>
                <w:b w:val="0"/>
                <w:sz w:val="22"/>
              </w:rPr>
              <w:t>1</w:t>
            </w:r>
            <w:r w:rsidRPr="00424F79">
              <w:rPr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424F79" w:rsidRDefault="00D31AE4" w:rsidP="001F65AB">
            <w:pPr>
              <w:spacing w:after="0" w:line="240" w:lineRule="auto"/>
              <w:ind w:left="144" w:right="518"/>
              <w:rPr>
                <w:rFonts w:eastAsia="Arial Narrow"/>
                <w:b w:val="0"/>
                <w:szCs w:val="20"/>
              </w:rPr>
            </w:pPr>
          </w:p>
          <w:p w:rsidR="00D31AE4" w:rsidRPr="00424F79" w:rsidRDefault="003D0FC9" w:rsidP="003D0FC9">
            <w:pPr>
              <w:spacing w:after="0" w:line="240" w:lineRule="auto"/>
              <w:ind w:left="145" w:right="521"/>
              <w:rPr>
                <w:rFonts w:ascii="Arial Narrow" w:eastAsia="Arial Narrow" w:hAnsi="Arial Narrow"/>
                <w:b w:val="0"/>
                <w:sz w:val="22"/>
              </w:rPr>
            </w:pP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Are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4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ap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p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o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pr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i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2"/>
              </w:rPr>
              <w:t>t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9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staff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m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m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b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e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s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8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f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mil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i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1"/>
              </w:rPr>
              <w:t>a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r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6"/>
              </w:rPr>
              <w:t xml:space="preserve"> 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1"/>
              </w:rPr>
              <w:t>w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</w:rPr>
              <w:t>ith</w:t>
            </w:r>
            <w:r w:rsidRPr="003955D8"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 xml:space="preserve"> the </w:t>
            </w:r>
            <w:r w:rsidRPr="003955D8">
              <w:rPr>
                <w:rFonts w:ascii="Arial Narrow" w:eastAsia="Arial Narrow" w:hAnsi="Arial Narrow" w:cs="Arial Narrow"/>
                <w:b w:val="0"/>
                <w:i/>
                <w:color w:val="000000"/>
                <w:spacing w:val="-3"/>
              </w:rPr>
              <w:t xml:space="preserve">State Administrative and Accounting Manual </w:t>
            </w:r>
            <w:r>
              <w:rPr>
                <w:rFonts w:ascii="Arial Narrow" w:eastAsia="Arial Narrow" w:hAnsi="Arial Narrow" w:cs="Arial Narrow"/>
                <w:b w:val="0"/>
                <w:color w:val="000000"/>
                <w:spacing w:val="-3"/>
              </w:rPr>
              <w:t>(SAAM) policies on inventories Chapter 35 and Subsection 85.56?</w:t>
            </w:r>
          </w:p>
        </w:tc>
      </w:tr>
      <w:tr w:rsidR="00F06166" w:rsidRPr="00424F79" w:rsidTr="009C3A75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F06166" w:rsidRPr="00424F79" w:rsidRDefault="00F06166" w:rsidP="00B737D9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6166" w:rsidRPr="00424F79" w:rsidRDefault="00F06166" w:rsidP="00B737D9">
            <w:pPr>
              <w:spacing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6166" w:rsidRPr="00424F79" w:rsidRDefault="00F06166" w:rsidP="00B737D9">
            <w:pPr>
              <w:spacing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6166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2.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F06166" w:rsidRDefault="00F06166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F06166" w:rsidRPr="00393473" w:rsidRDefault="00F06166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>
              <w:rPr>
                <w:rFonts w:ascii="Arial Narrow" w:eastAsia="Arial Narrow" w:hAnsi="Arial Narrow"/>
                <w:b w:val="0"/>
                <w:szCs w:val="20"/>
              </w:rPr>
              <w:t>Do the agency’s policies include a definition of inventory control point?</w:t>
            </w:r>
          </w:p>
        </w:tc>
      </w:tr>
      <w:tr w:rsidR="00D31AE4" w:rsidRPr="00424F79" w:rsidTr="009C3A75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>
              <w:rPr>
                <w:rFonts w:eastAsia="Arial Narrow"/>
                <w:b w:val="0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393473" w:rsidRDefault="00D31AE4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D31AE4" w:rsidRPr="00393473" w:rsidRDefault="00393473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 w:rsidRPr="00393473">
              <w:rPr>
                <w:rFonts w:ascii="Arial Narrow" w:eastAsia="Arial Narrow" w:hAnsi="Arial Narrow"/>
                <w:b w:val="0"/>
                <w:szCs w:val="20"/>
              </w:rPr>
              <w:t>Is physical access to</w:t>
            </w:r>
            <w:bookmarkStart w:id="0" w:name="_GoBack"/>
            <w:bookmarkEnd w:id="0"/>
            <w:r w:rsidRPr="00393473">
              <w:rPr>
                <w:rFonts w:ascii="Arial Narrow" w:eastAsia="Arial Narrow" w:hAnsi="Arial Narrow"/>
                <w:b w:val="0"/>
                <w:szCs w:val="20"/>
              </w:rPr>
              <w:t xml:space="preserve"> inventory restricted to operational need?</w:t>
            </w:r>
          </w:p>
        </w:tc>
      </w:tr>
      <w:tr w:rsidR="00D31AE4" w:rsidRPr="00424F79" w:rsidTr="009C3A75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D31AE4" w:rsidP="0056278B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AE4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  <w:sz w:val="22"/>
              </w:rPr>
            </w:pPr>
            <w:r>
              <w:rPr>
                <w:rFonts w:eastAsia="Arial Narrow"/>
                <w:b w:val="0"/>
              </w:rPr>
              <w:t>4.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D31AE4" w:rsidRPr="00393473" w:rsidRDefault="00D31AE4" w:rsidP="001F65AB">
            <w:pPr>
              <w:spacing w:after="0" w:line="240" w:lineRule="auto"/>
              <w:ind w:left="144" w:right="-14"/>
              <w:rPr>
                <w:rFonts w:ascii="Arial Narrow" w:eastAsia="Arial Narrow" w:hAnsi="Arial Narrow"/>
                <w:b w:val="0"/>
                <w:szCs w:val="20"/>
              </w:rPr>
            </w:pPr>
          </w:p>
          <w:p w:rsidR="00D31AE4" w:rsidRPr="00393473" w:rsidRDefault="00393473" w:rsidP="001F65AB">
            <w:pPr>
              <w:spacing w:after="0" w:line="240" w:lineRule="auto"/>
              <w:ind w:left="145" w:right="-20"/>
              <w:rPr>
                <w:rFonts w:ascii="Arial Narrow" w:eastAsia="Arial Narrow" w:hAnsi="Arial Narrow"/>
                <w:b w:val="0"/>
                <w:szCs w:val="20"/>
              </w:rPr>
            </w:pPr>
            <w:r w:rsidRPr="00393473">
              <w:rPr>
                <w:rFonts w:ascii="Arial Narrow" w:eastAsia="Arial Narrow" w:hAnsi="Arial Narrow"/>
                <w:b w:val="0"/>
                <w:szCs w:val="20"/>
              </w:rPr>
              <w:t>Is inventory protected from physical damage?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5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3366FF"/>
            </w:tcBorders>
          </w:tcPr>
          <w:p w:rsidR="00393473" w:rsidRP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393473" w:rsidRPr="00393473" w:rsidRDefault="00393473" w:rsidP="00393473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</w:t>
            </w:r>
            <w:r w:rsidRPr="00393473">
              <w:rPr>
                <w:rFonts w:ascii="Arial Narrow" w:hAnsi="Arial Narrow"/>
                <w:b w:val="0"/>
                <w:szCs w:val="20"/>
              </w:rPr>
              <w:t xml:space="preserve"> alarm</w:t>
            </w:r>
            <w:r>
              <w:rPr>
                <w:rFonts w:ascii="Arial Narrow" w:hAnsi="Arial Narrow"/>
                <w:b w:val="0"/>
                <w:szCs w:val="20"/>
              </w:rPr>
              <w:t xml:space="preserve"> and/or </w:t>
            </w:r>
            <w:r w:rsidRPr="00393473">
              <w:rPr>
                <w:rFonts w:ascii="Arial Narrow" w:hAnsi="Arial Narrow"/>
                <w:b w:val="0"/>
                <w:szCs w:val="20"/>
              </w:rPr>
              <w:t>electronic access system</w:t>
            </w:r>
            <w:r>
              <w:rPr>
                <w:rFonts w:ascii="Arial Narrow" w:hAnsi="Arial Narrow"/>
                <w:b w:val="0"/>
                <w:szCs w:val="20"/>
              </w:rPr>
              <w:t>s</w:t>
            </w:r>
            <w:r w:rsidRPr="00393473">
              <w:rPr>
                <w:rFonts w:ascii="Arial Narrow" w:hAnsi="Arial Narrow"/>
                <w:b w:val="0"/>
                <w:szCs w:val="20"/>
              </w:rPr>
              <w:t xml:space="preserve"> in use?</w:t>
            </w:r>
          </w:p>
        </w:tc>
      </w:tr>
      <w:tr w:rsidR="00884FAE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6</w:t>
            </w:r>
            <w:r w:rsidR="00884FAE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2" w:space="0" w:color="3366FF"/>
              <w:right w:val="single" w:sz="2" w:space="0" w:color="3366FF"/>
            </w:tcBorders>
          </w:tcPr>
          <w:p w:rsidR="00884FAE" w:rsidRDefault="00884FA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884FAE" w:rsidRDefault="00884FA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Is a periodic physical inventory conducted (at a minimum per the requirements of SAAM 35.10.40) and reconciled with inventory records?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7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393473" w:rsidRPr="00393473" w:rsidRDefault="00122F65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written instructions given and explained to all staff involved in the physical count?</w:t>
            </w:r>
          </w:p>
        </w:tc>
      </w:tr>
      <w:tr w:rsidR="00393473" w:rsidRPr="00424F79" w:rsidTr="009C3A75">
        <w:trPr>
          <w:trHeight w:hRule="exact" w:val="986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8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393473" w:rsidRPr="00393473" w:rsidRDefault="00393473" w:rsidP="00A3640E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variances between the physical inventory count and the inventory records investigated</w:t>
            </w:r>
            <w:r w:rsidR="00A3640E">
              <w:rPr>
                <w:rFonts w:ascii="Arial Narrow" w:hAnsi="Arial Narrow"/>
                <w:b w:val="0"/>
                <w:szCs w:val="20"/>
              </w:rPr>
              <w:t>, explained, corrective action taken when necessary to address the cause of the variance, and adjusted in the accounting records?</w:t>
            </w:r>
          </w:p>
        </w:tc>
      </w:tr>
      <w:tr w:rsidR="00884FAE" w:rsidRPr="00424F79" w:rsidTr="009C3A75">
        <w:trPr>
          <w:trHeight w:hRule="exact" w:val="626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Pr="00424F79" w:rsidRDefault="00884FAE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884FAE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9</w:t>
            </w:r>
            <w:r w:rsidR="00884FAE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884FAE" w:rsidRDefault="00884FA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884FAE" w:rsidRDefault="00884FAE" w:rsidP="00122F65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Does management review the resolution/reconciliation of the variances?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10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A3640E" w:rsidRPr="00393473" w:rsidRDefault="00A3640E" w:rsidP="00F06166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Is there a standard procedure for processing overages, shortages and damaged goods</w:t>
            </w:r>
            <w:r w:rsidR="00122F65">
              <w:rPr>
                <w:rFonts w:ascii="Arial Narrow" w:hAnsi="Arial Narrow"/>
                <w:b w:val="0"/>
                <w:szCs w:val="20"/>
              </w:rPr>
              <w:t xml:space="preserve"> that encompasses the procedures in SAAM </w:t>
            </w:r>
            <w:r w:rsidR="00F06166">
              <w:rPr>
                <w:rFonts w:ascii="Arial Narrow" w:hAnsi="Arial Narrow"/>
                <w:b w:val="0"/>
                <w:szCs w:val="20"/>
              </w:rPr>
              <w:t>70.75</w:t>
            </w:r>
            <w:r w:rsidR="00122F65">
              <w:rPr>
                <w:rFonts w:ascii="Arial Narrow" w:hAnsi="Arial Narrow"/>
                <w:b w:val="0"/>
                <w:szCs w:val="20"/>
              </w:rPr>
              <w:t>, if appropriate</w:t>
            </w:r>
            <w:r>
              <w:rPr>
                <w:rFonts w:ascii="Arial Narrow" w:hAnsi="Arial Narrow"/>
                <w:b w:val="0"/>
                <w:szCs w:val="20"/>
              </w:rPr>
              <w:t>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11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b w:val="0"/>
                <w:szCs w:val="20"/>
              </w:rPr>
            </w:pPr>
          </w:p>
          <w:p w:rsidR="00A3640E" w:rsidRPr="00424F79" w:rsidRDefault="00A3640E" w:rsidP="001F65AB">
            <w:pPr>
              <w:spacing w:before="9" w:after="0" w:line="240" w:lineRule="auto"/>
              <w:ind w:left="145"/>
              <w:rPr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Is the method used to value the inventory allowed by SAAM 35.10.45</w:t>
            </w:r>
            <w:r w:rsidR="00F06166">
              <w:rPr>
                <w:rFonts w:ascii="Arial Narrow" w:hAnsi="Arial Narrow"/>
                <w:b w:val="0"/>
                <w:szCs w:val="20"/>
              </w:rPr>
              <w:t>, documented,</w:t>
            </w:r>
            <w:r>
              <w:rPr>
                <w:rFonts w:ascii="Arial Narrow" w:hAnsi="Arial Narrow"/>
                <w:b w:val="0"/>
                <w:szCs w:val="20"/>
              </w:rPr>
              <w:t xml:space="preserve"> and applied consistently?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F06166" w:rsidP="0056278B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12</w:t>
            </w:r>
            <w:r w:rsidR="00393473"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Pr="00A3640E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A3640E" w:rsidRPr="00A3640E" w:rsidRDefault="00A3640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A3640E">
              <w:rPr>
                <w:rFonts w:ascii="Arial Narrow" w:hAnsi="Arial Narrow"/>
                <w:b w:val="0"/>
                <w:szCs w:val="20"/>
              </w:rPr>
              <w:t>Are physical quantities received matched with receiving documentation?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122F65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</w:t>
            </w:r>
            <w:r w:rsidR="00F06166">
              <w:rPr>
                <w:rFonts w:eastAsia="Arial Narrow"/>
                <w:b w:val="0"/>
              </w:rPr>
              <w:t>3</w:t>
            </w:r>
            <w:r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Pr="00A3640E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A3640E" w:rsidRPr="00A3640E" w:rsidRDefault="00A3640E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 w:rsidRPr="00A3640E">
              <w:rPr>
                <w:rFonts w:ascii="Arial Narrow" w:hAnsi="Arial Narrow"/>
                <w:b w:val="0"/>
                <w:szCs w:val="20"/>
              </w:rPr>
              <w:t>Does a methodology exist for determining the appropriate inventory level?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lastRenderedPageBreak/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122F65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</w:t>
            </w:r>
            <w:r w:rsidR="00F06166">
              <w:rPr>
                <w:rFonts w:eastAsia="Arial Narrow"/>
                <w:b w:val="0"/>
              </w:rPr>
              <w:t>4</w:t>
            </w:r>
            <w:r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A3640E" w:rsidRPr="00A3640E" w:rsidRDefault="00122F65" w:rsidP="00122F65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Are the custody/ receiving/issuing inventory duties segregated from taking the physical inventory?</w:t>
            </w:r>
          </w:p>
        </w:tc>
      </w:tr>
      <w:tr w:rsidR="00393473" w:rsidRPr="00424F79" w:rsidTr="009C3A75">
        <w:trPr>
          <w:trHeight w:hRule="exact" w:val="715"/>
          <w:jc w:val="center"/>
        </w:trPr>
        <w:tc>
          <w:tcPr>
            <w:tcW w:w="576" w:type="dxa"/>
            <w:tcBorders>
              <w:top w:val="nil"/>
              <w:left w:val="single" w:sz="2" w:space="0" w:color="3366FF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left="20"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5158E4">
            <w:pPr>
              <w:spacing w:before="10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b w:val="0"/>
                <w:sz w:val="40"/>
                <w:szCs w:val="40"/>
              </w:rPr>
            </w:pPr>
            <w:r w:rsidRPr="00424F79">
              <w:rPr>
                <w:rFonts w:ascii="Arial Narrow" w:eastAsia="Arial Narrow" w:hAnsi="Arial Narrow" w:cs="Arial Narrow"/>
                <w:b w:val="0"/>
                <w:color w:val="3366FF"/>
                <w:sz w:val="40"/>
                <w:szCs w:val="40"/>
              </w:rPr>
              <w:t>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3366FF"/>
              <w:right w:val="nil"/>
            </w:tcBorders>
            <w:vAlign w:val="center"/>
          </w:tcPr>
          <w:p w:rsidR="00393473" w:rsidRPr="00424F79" w:rsidRDefault="00393473" w:rsidP="00122F65">
            <w:pPr>
              <w:spacing w:after="0" w:line="240" w:lineRule="auto"/>
              <w:jc w:val="center"/>
              <w:rPr>
                <w:rFonts w:eastAsia="Arial Narrow"/>
                <w:b w:val="0"/>
              </w:rPr>
            </w:pPr>
            <w:r>
              <w:rPr>
                <w:rFonts w:eastAsia="Arial Narrow"/>
                <w:b w:val="0"/>
              </w:rPr>
              <w:t>1</w:t>
            </w:r>
            <w:r w:rsidR="00F06166">
              <w:rPr>
                <w:rFonts w:eastAsia="Arial Narrow"/>
                <w:b w:val="0"/>
              </w:rPr>
              <w:t>5</w:t>
            </w:r>
            <w:r>
              <w:rPr>
                <w:rFonts w:eastAsia="Arial Narrow"/>
                <w:b w:val="0"/>
              </w:rPr>
              <w:t>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2" w:space="0" w:color="3366FF"/>
              <w:right w:val="single" w:sz="2" w:space="0" w:color="3366FF"/>
            </w:tcBorders>
          </w:tcPr>
          <w:p w:rsidR="00393473" w:rsidRDefault="00393473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</w:p>
          <w:p w:rsidR="00122F65" w:rsidRPr="00A3640E" w:rsidRDefault="00122F65" w:rsidP="001F65AB">
            <w:pPr>
              <w:spacing w:before="9" w:after="0" w:line="240" w:lineRule="auto"/>
              <w:ind w:left="145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Is there an adequate level of insurance cover</w:t>
            </w:r>
            <w:r w:rsidR="009C3A75">
              <w:rPr>
                <w:rFonts w:ascii="Arial Narrow" w:hAnsi="Arial Narrow"/>
                <w:b w:val="0"/>
                <w:szCs w:val="20"/>
              </w:rPr>
              <w:t>age for significant inventories?</w:t>
            </w:r>
          </w:p>
        </w:tc>
      </w:tr>
    </w:tbl>
    <w:p w:rsidR="0036406F" w:rsidRPr="0036406F" w:rsidRDefault="0036406F" w:rsidP="0036406F">
      <w:pPr>
        <w:spacing w:after="0" w:line="240" w:lineRule="auto"/>
        <w:rPr>
          <w:b w:val="0"/>
          <w:sz w:val="14"/>
          <w:szCs w:val="14"/>
        </w:rPr>
      </w:pPr>
      <w:r w:rsidRPr="0036406F">
        <w:rPr>
          <w:b w:val="0"/>
          <w:sz w:val="14"/>
          <w:szCs w:val="14"/>
        </w:rPr>
        <w:t>*N/A - Not Applicable</w:t>
      </w:r>
    </w:p>
    <w:p w:rsidR="0036406F" w:rsidRDefault="0036406F" w:rsidP="0036406F">
      <w:pPr>
        <w:spacing w:after="0" w:line="240" w:lineRule="auto"/>
        <w:rPr>
          <w:b w:val="0"/>
        </w:rPr>
      </w:pPr>
    </w:p>
    <w:p w:rsidR="0036406F" w:rsidRDefault="0036406F" w:rsidP="0036406F">
      <w:pPr>
        <w:spacing w:after="0" w:line="240" w:lineRule="auto"/>
        <w:ind w:left="-270" w:right="-20"/>
        <w:rPr>
          <w:rFonts w:eastAsia="Arial"/>
          <w:szCs w:val="20"/>
        </w:rPr>
      </w:pP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mm</w:t>
      </w:r>
      <w:r>
        <w:rPr>
          <w:rFonts w:eastAsia="Arial"/>
          <w:bCs/>
          <w:szCs w:val="20"/>
        </w:rPr>
        <w:t>en</w:t>
      </w:r>
      <w:r>
        <w:rPr>
          <w:rFonts w:eastAsia="Arial"/>
          <w:bCs/>
          <w:spacing w:val="-1"/>
          <w:szCs w:val="20"/>
        </w:rPr>
        <w:t>t</w:t>
      </w:r>
      <w:r>
        <w:rPr>
          <w:rFonts w:eastAsia="Arial"/>
          <w:bCs/>
          <w:szCs w:val="20"/>
        </w:rPr>
        <w:t>s</w:t>
      </w:r>
      <w:r>
        <w:rPr>
          <w:rFonts w:eastAsia="Arial"/>
          <w:bCs/>
          <w:spacing w:val="-1"/>
          <w:szCs w:val="20"/>
        </w:rPr>
        <w:t>/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m</w:t>
      </w:r>
      <w:r>
        <w:rPr>
          <w:rFonts w:eastAsia="Arial"/>
          <w:bCs/>
          <w:szCs w:val="20"/>
        </w:rPr>
        <w:t>pe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sat</w:t>
      </w:r>
      <w:r>
        <w:rPr>
          <w:rFonts w:eastAsia="Arial"/>
          <w:bCs/>
          <w:spacing w:val="-2"/>
          <w:szCs w:val="20"/>
        </w:rPr>
        <w:t>i</w:t>
      </w:r>
      <w:r>
        <w:rPr>
          <w:rFonts w:eastAsia="Arial"/>
          <w:bCs/>
          <w:szCs w:val="20"/>
        </w:rPr>
        <w:t xml:space="preserve">ng </w:t>
      </w:r>
      <w:r>
        <w:rPr>
          <w:rFonts w:eastAsia="Arial"/>
          <w:bCs/>
          <w:spacing w:val="1"/>
          <w:szCs w:val="20"/>
        </w:rPr>
        <w:t>C</w:t>
      </w:r>
      <w:r>
        <w:rPr>
          <w:rFonts w:eastAsia="Arial"/>
          <w:bCs/>
          <w:szCs w:val="20"/>
        </w:rPr>
        <w:t>o</w:t>
      </w:r>
      <w:r>
        <w:rPr>
          <w:rFonts w:eastAsia="Arial"/>
          <w:bCs/>
          <w:spacing w:val="-1"/>
          <w:szCs w:val="20"/>
        </w:rPr>
        <w:t>n</w:t>
      </w:r>
      <w:r>
        <w:rPr>
          <w:rFonts w:eastAsia="Arial"/>
          <w:bCs/>
          <w:szCs w:val="20"/>
        </w:rPr>
        <w:t>tro</w:t>
      </w:r>
      <w:r>
        <w:rPr>
          <w:rFonts w:eastAsia="Arial"/>
          <w:bCs/>
          <w:spacing w:val="-1"/>
          <w:szCs w:val="20"/>
        </w:rPr>
        <w:t>l</w:t>
      </w:r>
      <w:r>
        <w:rPr>
          <w:rFonts w:eastAsia="Arial"/>
          <w:bCs/>
          <w:szCs w:val="20"/>
        </w:rPr>
        <w:t>s: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Default="0036406F" w:rsidP="00AC17CE">
      <w:pPr>
        <w:spacing w:after="0"/>
        <w:ind w:left="-270" w:right="-20"/>
        <w:rPr>
          <w:rFonts w:eastAsia="Arial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821D3E" w:rsidRDefault="0036406F" w:rsidP="0036406F">
      <w:pPr>
        <w:spacing w:after="0" w:line="240" w:lineRule="auto"/>
        <w:ind w:left="-27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Monitoring</w:t>
      </w:r>
      <w:r w:rsidR="004C7AD8">
        <w:rPr>
          <w:rFonts w:eastAsia="Arial"/>
          <w:bCs/>
          <w:spacing w:val="1"/>
          <w:szCs w:val="20"/>
        </w:rPr>
        <w:t xml:space="preserve"> – ongoing/separate evaluations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821D3E" w:rsidRDefault="0036406F" w:rsidP="0036406F">
      <w:pPr>
        <w:spacing w:after="0" w:line="240" w:lineRule="auto"/>
        <w:ind w:left="-270" w:right="-20"/>
        <w:rPr>
          <w:rFonts w:eastAsia="Arial"/>
          <w:szCs w:val="20"/>
        </w:rPr>
      </w:pPr>
      <w:r w:rsidRPr="00821D3E">
        <w:rPr>
          <w:rFonts w:eastAsia="Arial"/>
          <w:bCs/>
          <w:spacing w:val="1"/>
          <w:szCs w:val="20"/>
        </w:rPr>
        <w:t>Summary</w:t>
      </w:r>
      <w:r w:rsidRPr="00821D3E">
        <w:rPr>
          <w:rFonts w:eastAsia="Arial"/>
          <w:bCs/>
          <w:szCs w:val="20"/>
        </w:rPr>
        <w:t>: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Pr="00821D3E" w:rsidRDefault="0036406F" w:rsidP="00AC17CE">
      <w:pPr>
        <w:spacing w:after="0"/>
        <w:ind w:left="-270" w:right="-20"/>
        <w:rPr>
          <w:rFonts w:eastAsia="Arial"/>
          <w:b w:val="0"/>
          <w:szCs w:val="20"/>
        </w:rPr>
      </w:pPr>
      <w:r w:rsidRPr="00821D3E">
        <w:rPr>
          <w:rFonts w:eastAsia="Arial"/>
          <w:b w:val="0"/>
          <w:szCs w:val="20"/>
        </w:rPr>
        <w:t>………………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………</w:t>
      </w:r>
      <w:r w:rsidRPr="00821D3E">
        <w:rPr>
          <w:rFonts w:eastAsia="Arial"/>
          <w:b w:val="0"/>
          <w:spacing w:val="-1"/>
          <w:szCs w:val="20"/>
        </w:rPr>
        <w:t>…</w:t>
      </w:r>
      <w:r w:rsidRPr="00821D3E">
        <w:rPr>
          <w:rFonts w:eastAsia="Arial"/>
          <w:b w:val="0"/>
          <w:szCs w:val="20"/>
        </w:rPr>
        <w:t>……</w:t>
      </w:r>
      <w:r w:rsidR="00AC17CE" w:rsidRPr="00821D3E">
        <w:rPr>
          <w:rFonts w:eastAsia="Arial"/>
          <w:b w:val="0"/>
          <w:szCs w:val="20"/>
        </w:rPr>
        <w:t>………</w:t>
      </w:r>
    </w:p>
    <w:p w:rsidR="0036406F" w:rsidRDefault="0036406F" w:rsidP="0036406F">
      <w:pPr>
        <w:spacing w:after="0" w:line="229" w:lineRule="exact"/>
        <w:ind w:left="-270" w:right="-20"/>
        <w:rPr>
          <w:rFonts w:eastAsia="Arial"/>
          <w:szCs w:val="20"/>
        </w:rPr>
      </w:pPr>
    </w:p>
    <w:p w:rsidR="0036406F" w:rsidRPr="0036406F" w:rsidRDefault="0036406F" w:rsidP="0036406F">
      <w:pPr>
        <w:spacing w:after="0" w:line="240" w:lineRule="auto"/>
        <w:rPr>
          <w:b w:val="0"/>
        </w:rPr>
      </w:pPr>
    </w:p>
    <w:sectPr w:rsidR="0036406F" w:rsidRPr="003640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66" w:rsidRDefault="00F06166" w:rsidP="00393473">
      <w:pPr>
        <w:spacing w:after="0" w:line="240" w:lineRule="auto"/>
      </w:pPr>
      <w:r>
        <w:separator/>
      </w:r>
    </w:p>
  </w:endnote>
  <w:endnote w:type="continuationSeparator" w:id="0">
    <w:p w:rsidR="00F06166" w:rsidRDefault="00F06166" w:rsidP="0039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66" w:rsidRDefault="00F06166" w:rsidP="00393473">
      <w:pPr>
        <w:spacing w:after="0" w:line="240" w:lineRule="auto"/>
      </w:pPr>
      <w:r>
        <w:separator/>
      </w:r>
    </w:p>
  </w:footnote>
  <w:footnote w:type="continuationSeparator" w:id="0">
    <w:p w:rsidR="00F06166" w:rsidRDefault="00F06166" w:rsidP="0039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73" w:rsidRDefault="00393473" w:rsidP="00393473">
    <w:pPr>
      <w:pStyle w:val="Header"/>
      <w:jc w:val="center"/>
    </w:pPr>
    <w:r>
      <w:t>Inventories</w:t>
    </w:r>
  </w:p>
  <w:p w:rsidR="00393473" w:rsidRDefault="00393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6"/>
    <w:rsid w:val="00122F65"/>
    <w:rsid w:val="00151467"/>
    <w:rsid w:val="001F65AB"/>
    <w:rsid w:val="00206131"/>
    <w:rsid w:val="002113D8"/>
    <w:rsid w:val="00361048"/>
    <w:rsid w:val="0036406F"/>
    <w:rsid w:val="003671DF"/>
    <w:rsid w:val="00393473"/>
    <w:rsid w:val="003A750B"/>
    <w:rsid w:val="003D0FC9"/>
    <w:rsid w:val="00424F79"/>
    <w:rsid w:val="00455799"/>
    <w:rsid w:val="004621DB"/>
    <w:rsid w:val="00490CCF"/>
    <w:rsid w:val="004A76A3"/>
    <w:rsid w:val="004C7AD8"/>
    <w:rsid w:val="0056278B"/>
    <w:rsid w:val="0069737E"/>
    <w:rsid w:val="00821D3E"/>
    <w:rsid w:val="00880D20"/>
    <w:rsid w:val="00884FAE"/>
    <w:rsid w:val="008D2F74"/>
    <w:rsid w:val="00975608"/>
    <w:rsid w:val="009C3A75"/>
    <w:rsid w:val="00A3640E"/>
    <w:rsid w:val="00AA1435"/>
    <w:rsid w:val="00AC17CE"/>
    <w:rsid w:val="00B17526"/>
    <w:rsid w:val="00B20AEB"/>
    <w:rsid w:val="00BC3D1F"/>
    <w:rsid w:val="00C15419"/>
    <w:rsid w:val="00C256BD"/>
    <w:rsid w:val="00D31AE4"/>
    <w:rsid w:val="00DB0C98"/>
    <w:rsid w:val="00F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F8A"/>
  <w15:docId w15:val="{0F9BAFE5-6253-486C-846E-52EEE13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6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56BD"/>
    <w:rPr>
      <w:color w:val="808080"/>
    </w:rPr>
  </w:style>
  <w:style w:type="paragraph" w:styleId="ListParagraph">
    <w:name w:val="List Paragraph"/>
    <w:basedOn w:val="Normal"/>
    <w:uiPriority w:val="34"/>
    <w:qFormat/>
    <w:rsid w:val="00562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73"/>
  </w:style>
  <w:style w:type="paragraph" w:styleId="Footer">
    <w:name w:val="footer"/>
    <w:basedOn w:val="Normal"/>
    <w:link w:val="FooterChar"/>
    <w:uiPriority w:val="99"/>
    <w:unhideWhenUsed/>
    <w:rsid w:val="0039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7451380E8D4252930F57A6C241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81F5-E86B-40D3-A91D-95EC778BA46E}"/>
      </w:docPartPr>
      <w:docPartBody>
        <w:p w:rsidR="00EC745A" w:rsidRDefault="00EC745A">
          <w:pPr>
            <w:pStyle w:val="E87451380E8D4252930F57A6C24144E7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E3C7E6BA627F4F3CAF9FC79F9DFC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F59E-3FD9-4FD1-9C42-B091C9C68E6A}"/>
      </w:docPartPr>
      <w:docPartBody>
        <w:p w:rsidR="00EC745A" w:rsidRDefault="00EC745A">
          <w:pPr>
            <w:pStyle w:val="E3C7E6BA627F4F3CAF9FC79F9DFC79AD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CEC45890D5CC45EDBDFE2BF0C82E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97EF-A9BB-4132-843D-49B2747EA647}"/>
      </w:docPartPr>
      <w:docPartBody>
        <w:p w:rsidR="00EC745A" w:rsidRDefault="00EC745A">
          <w:pPr>
            <w:pStyle w:val="CEC45890D5CC45EDBDFE2BF0C82E5139"/>
          </w:pPr>
          <w:r w:rsidRPr="00AE294C">
            <w:rPr>
              <w:rStyle w:val="PlaceholderText"/>
            </w:rPr>
            <w:t>Click here to enter text.</w:t>
          </w:r>
        </w:p>
      </w:docPartBody>
    </w:docPart>
    <w:docPart>
      <w:docPartPr>
        <w:name w:val="488808041C4343C6BB5640AC516D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7A1F-8DA5-4A66-9C6A-0AC721B8077B}"/>
      </w:docPartPr>
      <w:docPartBody>
        <w:p w:rsidR="00EC745A" w:rsidRDefault="00EC745A">
          <w:pPr>
            <w:pStyle w:val="488808041C4343C6BB5640AC516D65C3"/>
          </w:pPr>
          <w:r w:rsidRPr="00AE29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5A"/>
    <w:rsid w:val="00E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7451380E8D4252930F57A6C24144E7">
    <w:name w:val="E87451380E8D4252930F57A6C24144E7"/>
  </w:style>
  <w:style w:type="paragraph" w:customStyle="1" w:styleId="E3C7E6BA627F4F3CAF9FC79F9DFC79AD">
    <w:name w:val="E3C7E6BA627F4F3CAF9FC79F9DFC79AD"/>
  </w:style>
  <w:style w:type="paragraph" w:customStyle="1" w:styleId="CEC45890D5CC45EDBDFE2BF0C82E5139">
    <w:name w:val="CEC45890D5CC45EDBDFE2BF0C82E5139"/>
  </w:style>
  <w:style w:type="paragraph" w:customStyle="1" w:styleId="488808041C4343C6BB5640AC516D65C3">
    <w:name w:val="488808041C4343C6BB5640AC516D6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19F2-8D20-4BD4-A534-6B0199DB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Jarrett, Wendy (OFM)</dc:creator>
  <cp:lastModifiedBy>Cavanah, Kennesy (OFM)</cp:lastModifiedBy>
  <cp:revision>3</cp:revision>
  <dcterms:created xsi:type="dcterms:W3CDTF">2016-03-11T15:06:00Z</dcterms:created>
  <dcterms:modified xsi:type="dcterms:W3CDTF">2019-01-30T19:48:00Z</dcterms:modified>
</cp:coreProperties>
</file>